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218" w:lineRule="auto"/>
        <w:ind w:left="0" w:leftChars="0" w:firstLine="0" w:firstLineChars="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_GBK" w:cs="Times New Roman"/>
          <w:b w:val="0"/>
          <w:bCs w:val="0"/>
          <w:sz w:val="40"/>
          <w:szCs w:val="40"/>
          <w:lang w:eastAsia="zh-CN"/>
        </w:rPr>
      </w:pPr>
      <w:r>
        <w:rPr>
          <w:rFonts w:hint="default" w:ascii="Times New Roman" w:hAnsi="Times New Roman" w:eastAsia="方正小标宋_GBK" w:cs="Times New Roman"/>
          <w:b w:val="0"/>
          <w:bCs w:val="0"/>
          <w:sz w:val="40"/>
          <w:szCs w:val="40"/>
          <w:lang w:eastAsia="zh-CN"/>
        </w:rPr>
        <w:t>工业项目“用地清单制+告知承诺制”清单事项</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cs="Times New Roman"/>
          <w:lang w:val="en-US" w:eastAsia="zh-CN"/>
        </w:rPr>
      </w:pPr>
    </w:p>
    <w:tbl>
      <w:tblPr>
        <w:tblStyle w:val="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0"/>
        <w:gridCol w:w="2641"/>
        <w:gridCol w:w="979"/>
        <w:gridCol w:w="3789"/>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spacing w:val="0"/>
                <w:sz w:val="21"/>
                <w:szCs w:val="21"/>
                <w:lang w:eastAsia="zh-CN"/>
              </w:rPr>
            </w:pPr>
            <w:r>
              <w:rPr>
                <w:rFonts w:hint="default" w:ascii="Times New Roman" w:hAnsi="Times New Roman" w:eastAsia="黑体" w:cs="Times New Roman"/>
                <w:b w:val="0"/>
                <w:bCs w:val="0"/>
                <w:spacing w:val="0"/>
                <w:sz w:val="21"/>
                <w:szCs w:val="21"/>
                <w:lang w:eastAsia="zh-CN"/>
              </w:rPr>
              <w:t>序号</w:t>
            </w:r>
          </w:p>
        </w:tc>
        <w:tc>
          <w:tcPr>
            <w:tcW w:w="2641"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可通过“用地清单制+告知</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spacing w:val="0"/>
                <w:sz w:val="21"/>
                <w:szCs w:val="21"/>
                <w:lang w:eastAsia="zh-CN"/>
              </w:rPr>
            </w:pPr>
            <w:r>
              <w:rPr>
                <w:rFonts w:hint="default" w:ascii="Times New Roman" w:hAnsi="Times New Roman" w:eastAsia="黑体" w:cs="Times New Roman"/>
                <w:b w:val="0"/>
                <w:bCs w:val="0"/>
                <w:color w:val="000000"/>
                <w:spacing w:val="0"/>
                <w:kern w:val="0"/>
                <w:sz w:val="21"/>
                <w:szCs w:val="21"/>
                <w:lang w:eastAsia="zh-CN" w:bidi="en-US"/>
              </w:rPr>
              <w:t>承诺制”办理的事项名称</w:t>
            </w:r>
          </w:p>
        </w:tc>
        <w:tc>
          <w:tcPr>
            <w:tcW w:w="97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行政审</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批部门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承诺内容</w:t>
            </w:r>
          </w:p>
        </w:tc>
        <w:tc>
          <w:tcPr>
            <w:tcW w:w="1271"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是\否纳入</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黑体" w:cs="Times New Roman"/>
                <w:b w:val="0"/>
                <w:bCs w:val="0"/>
                <w:color w:val="000000"/>
                <w:spacing w:val="0"/>
                <w:kern w:val="0"/>
                <w:sz w:val="21"/>
                <w:szCs w:val="21"/>
                <w:lang w:eastAsia="zh-CN" w:bidi="en-US"/>
              </w:rPr>
            </w:pPr>
            <w:r>
              <w:rPr>
                <w:rFonts w:hint="default" w:ascii="Times New Roman" w:hAnsi="Times New Roman" w:eastAsia="黑体" w:cs="Times New Roman"/>
                <w:b w:val="0"/>
                <w:bCs w:val="0"/>
                <w:color w:val="000000"/>
                <w:spacing w:val="0"/>
                <w:kern w:val="0"/>
                <w:sz w:val="21"/>
                <w:szCs w:val="21"/>
                <w:lang w:eastAsia="zh-CN" w:bidi="en-US"/>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bidi="ar-SA"/>
              </w:rPr>
            </w:pPr>
            <w:r>
              <w:rPr>
                <w:rFonts w:hint="default" w:ascii="Times New Roman" w:hAnsi="Times New Roman" w:eastAsia="仿宋_GB2312" w:cs="Times New Roman"/>
                <w:spacing w:val="0"/>
                <w:sz w:val="21"/>
                <w:szCs w:val="21"/>
                <w:lang w:eastAsia="zh-CN"/>
              </w:rPr>
              <w:t>建设用地规划许可</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承诺项目符合国土空间总体规划、控制性详细规划、产业规划</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2</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建设工程规划许可证核发</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承诺项目符合国土空间规划、控制性详细规划，建设工程设计方案审批应在开工前完成</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3</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区域地质灾害危险性评估</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4</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压覆重要矿产资源区域评估</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5</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宗地地价评估</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自然资源部门在“净地”准备阶段已完成，直接采纳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6</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重大工程气候可行性论证</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气象部门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7</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气象灾害风险普查</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气象部门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8</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雷电灾害风险评估</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气象部门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9</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雷电防护装置设计审核</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气象部门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建设单位可在承诺期内补充提交设计中所采用的防雷产品相关说明</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10</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生产建设项目水土保持方案审批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水利部门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承诺按规定编制水土保持方案，自行组织审查后报水行政主管部门批准，应在开工前完成</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11</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取水许可审批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水利部门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12</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洪水影响评价审批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水利部门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13</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占用农业灌溉水源、灌排</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工程设施</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水利部门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有区域评价成果，直接采纳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14</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获得用水</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自来水</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公司</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提供地块周边管线现状情况、周边的连接点、公共设施连接设计等方面规定</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15</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危险化学品生产、储存建设项目安全条件审查</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应急部门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承诺项目符合危险化建设方案审批，应在开工前完成</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16</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矿山、金属冶炼建设项目和用于生产、储存危险物品的建设项目的安全设施设计</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审查</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应急部门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承诺项目符合危险化建设方案审批，应在开工前完成</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17</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建设项目安全预评价</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应急部门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18</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地震安全性评价</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应急部门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有评价成果，直接采纳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19</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自然资源规划部门牵头的规划方案审查时初步设计协作</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住建部门</w:t>
            </w:r>
          </w:p>
        </w:tc>
        <w:tc>
          <w:tcPr>
            <w:tcW w:w="3789"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装配式建筑面积占比、绿色建筑等级、历史建筑保护要求、超限高层抗震设防控制要求、充电桩预留比例和建设比例、建筑物和建设场地消防设计要求</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20</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市政设施建设类审批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住建部门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市政管网接入按市政设施破拆、恢复、排放要求建设施工</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eastAsia="zh-CN"/>
              </w:rPr>
              <w:t>2</w:t>
            </w:r>
            <w:r>
              <w:rPr>
                <w:rFonts w:hint="default" w:ascii="Times New Roman" w:hAnsi="Times New Roman" w:eastAsia="仿宋_GB2312" w:cs="Times New Roman"/>
                <w:spacing w:val="0"/>
                <w:sz w:val="21"/>
                <w:szCs w:val="21"/>
                <w:lang w:val="en-US" w:eastAsia="zh-CN"/>
              </w:rPr>
              <w:t>1</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应建防控地下室的民用建筑项目报建审批或防空地下室易地建设审批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发改部门（人防部门）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人防建设或易地建设</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22</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节能审查</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发改部门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kern w:val="2"/>
                <w:sz w:val="21"/>
                <w:szCs w:val="21"/>
                <w:lang w:val="en-US" w:eastAsia="zh-CN" w:bidi="ar-SA"/>
              </w:rPr>
              <w:t>承诺项目符合节能审查规定，应在开工前完成</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23</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工程建设涉及城市绿地</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树木审批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城管部门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 xml:space="preserve">提出园林绿化方面的技术或管理指标；相邻单位无法共用出口，快速路中间分隔带在枢纽、立交、隧道、特大桥及路堑段前后，应设置中间分隔带紧急开口。开口最小间距不宜小于2km，开口长度宜采用20m-30m，开口处应设置活动护栏。两侧分隔带开口应符合进出口最小间距要求。主干路两侧分隔带断口间距宜大于或等于300m。 </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24</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建设项目环境影响评价</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审批</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生环部门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kern w:val="2"/>
                <w:sz w:val="21"/>
                <w:szCs w:val="21"/>
                <w:lang w:val="en-US" w:eastAsia="zh-CN" w:bidi="ar-SA"/>
              </w:rPr>
              <w:t>推行环评告知承诺制（省生态环境厅批准的项目和“两高”项目除外）。严格落实省市生态环境部门相关规定，由生态环境行政主管部门告知相关事项，建设单位作出确认和承诺，不开展环评报告的技术评估，1个工作日内直接作出审批决定，企业即可投入建设。</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25</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建设项目文物保护和考古</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许可</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文旅广体部门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有文物业务部门考古调查、勘探报告或考古发掘报告的，直接采纳</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26</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城市道路等方面的技术或</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管理指标</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交警部门</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both"/>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承诺项目按规定编制交通组织设计方案，达到交通影响评价的启动阀值时按规定编制《交通影响评价》。根据《湖南省人民政府关于加强道路交通安全工作的实施意见》(湘政发〔</w:t>
            </w:r>
            <w:r>
              <w:rPr>
                <w:rFonts w:hint="default" w:ascii="Times New Roman" w:hAnsi="Times New Roman" w:eastAsia="仿宋_GB2312" w:cs="Times New Roman"/>
                <w:spacing w:val="0"/>
                <w:sz w:val="21"/>
                <w:szCs w:val="21"/>
                <w:lang w:val="en-US" w:eastAsia="zh-CN"/>
              </w:rPr>
              <w:t>2013</w:t>
            </w:r>
            <w:r>
              <w:rPr>
                <w:rFonts w:hint="default" w:ascii="Times New Roman" w:hAnsi="Times New Roman" w:eastAsia="仿宋_GB2312" w:cs="Times New Roman"/>
                <w:spacing w:val="0"/>
                <w:sz w:val="21"/>
                <w:szCs w:val="21"/>
                <w:lang w:eastAsia="zh-CN"/>
              </w:rPr>
              <w:t>〕21号文件)“三同时”要求，对项目建设严格遵守“同时规定，同时施工，同时验收”之规定进行全流程监管。</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kern w:val="2"/>
                <w:sz w:val="21"/>
                <w:szCs w:val="21"/>
                <w:lang w:val="en-US" w:eastAsia="zh-CN" w:bidi="ar-SA"/>
              </w:rPr>
            </w:pPr>
            <w:r>
              <w:rPr>
                <w:rFonts w:hint="default" w:ascii="Times New Roman" w:hAnsi="Times New Roman" w:eastAsia="仿宋_GB2312" w:cs="Times New Roman"/>
                <w:spacing w:val="0"/>
                <w:sz w:val="21"/>
                <w:szCs w:val="21"/>
                <w:lang w:eastAsia="zh-CN"/>
              </w:rPr>
              <w:t>是\已纳入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0" w:type="dxa"/>
            <w:noWrap/>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val="en-US" w:eastAsia="zh-CN"/>
              </w:rPr>
            </w:pPr>
            <w:r>
              <w:rPr>
                <w:rFonts w:hint="default" w:ascii="Times New Roman" w:hAnsi="Times New Roman" w:eastAsia="仿宋_GB2312" w:cs="Times New Roman"/>
                <w:spacing w:val="0"/>
                <w:sz w:val="21"/>
                <w:szCs w:val="21"/>
                <w:lang w:val="en-US" w:eastAsia="zh-CN"/>
              </w:rPr>
              <w:t>27</w:t>
            </w:r>
          </w:p>
        </w:tc>
        <w:tc>
          <w:tcPr>
            <w:tcW w:w="264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w:t>
            </w:r>
          </w:p>
        </w:tc>
        <w:tc>
          <w:tcPr>
            <w:tcW w:w="3789" w:type="dxa"/>
            <w:noWrap/>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pacing w:val="0"/>
                <w:sz w:val="21"/>
                <w:szCs w:val="21"/>
                <w:lang w:eastAsia="zh-CN"/>
              </w:rPr>
            </w:pPr>
            <w:r>
              <w:rPr>
                <w:rFonts w:hint="default" w:ascii="Times New Roman" w:hAnsi="Times New Roman" w:eastAsia="仿宋_GB2312" w:cs="Times New Roman"/>
                <w:spacing w:val="0"/>
                <w:sz w:val="21"/>
                <w:szCs w:val="21"/>
                <w:lang w:eastAsia="zh-CN"/>
              </w:rPr>
              <w:t>……</w:t>
            </w:r>
          </w:p>
        </w:tc>
        <w:tc>
          <w:tcPr>
            <w:tcW w:w="1271" w:type="dxa"/>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default" w:ascii="Times New Roman" w:hAnsi="Times New Roman" w:eastAsia="仿宋_GB2312" w:cs="Times New Roman"/>
                <w:spacing w:val="0"/>
                <w:sz w:val="21"/>
                <w:szCs w:val="21"/>
                <w:lang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NDk2NmI1NTMwOGQ4MGQ2Yzk0NDk4NzI1MzlmNjYifQ=="/>
  </w:docVars>
  <w:rsids>
    <w:rsidRoot w:val="08356F87"/>
    <w:rsid w:val="08356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200" w:firstLineChars="200"/>
      <w:jc w:val="both"/>
    </w:pPr>
    <w:rPr>
      <w:kern w:val="2"/>
      <w:szCs w:val="22"/>
      <w:lang w:eastAsia="zh-CN" w:bidi="ar-SA"/>
    </w:rPr>
  </w:style>
  <w:style w:type="paragraph" w:styleId="3">
    <w:name w:val="Body Text"/>
    <w:basedOn w:val="1"/>
    <w:qFormat/>
    <w:uiPriority w:val="0"/>
    <w:rPr>
      <w:rFonts w:eastAsia="仿宋_GB2312"/>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2023-08-07T02:49:00Z</dcterms:created>
  <dc:creator>Administrator</dc:creator>
  <cp:lastModifiedBy>Administrator</cp:lastModifiedBy>
  <dcterms:modified xsi:type="dcterms:W3CDTF">2023-08-07T02:51:27Z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E16543CBD0E94BFB8A472AB0764670FB_11</vt:lpwstr>
  </property>
</Properties>
</file>